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2016追尋古笨港風華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2016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5F3F3A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92490C">
        <w:rPr>
          <w:rFonts w:ascii="Cambria" w:eastAsia="標楷體" w:hAnsi="Cambria"/>
          <w:sz w:val="28"/>
          <w:szCs w:val="28"/>
        </w:rPr>
        <w:t>16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1B6A32" w:rsidRPr="0056149D">
        <w:rPr>
          <w:rFonts w:ascii="Cambria" w:eastAsia="標楷體" w:hAnsi="Cambria" w:hint="eastAsia"/>
          <w:sz w:val="28"/>
          <w:szCs w:val="28"/>
        </w:rPr>
        <w:t>星期</w:t>
      </w:r>
      <w:r w:rsidR="0092490C">
        <w:rPr>
          <w:rFonts w:ascii="Cambria" w:eastAsia="標楷體" w:hAnsi="Cambria" w:hint="eastAsia"/>
          <w:sz w:val="28"/>
          <w:szCs w:val="28"/>
        </w:rPr>
        <w:t>二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5F3F3A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92490C">
        <w:rPr>
          <w:rFonts w:ascii="標楷體" w:eastAsia="標楷體" w:hAnsi="標楷體" w:hint="eastAsia"/>
          <w:sz w:val="28"/>
          <w:szCs w:val="28"/>
        </w:rPr>
        <w:t>13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bookmarkStart w:id="0" w:name="_GoBack"/>
      <w:r w:rsidRPr="0056149D">
        <w:rPr>
          <w:rFonts w:hAnsi="標楷體" w:hint="eastAsia"/>
          <w:b/>
          <w:szCs w:val="28"/>
        </w:rPr>
        <w:t>2016追尋古笨港風華</w:t>
      </w:r>
      <w:bookmarkEnd w:id="0"/>
      <w:r w:rsidRPr="0056149D">
        <w:rPr>
          <w:rFonts w:hAnsi="標楷體" w:hint="eastAsia"/>
          <w:b/>
          <w:szCs w:val="28"/>
        </w:rPr>
        <w:t>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Pr="0056149D" w:rsidRDefault="005F3F3A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 w:rsidR="0092490C">
              <w:rPr>
                <w:rFonts w:hAnsi="標楷體" w:hint="eastAsia"/>
                <w:sz w:val="24"/>
              </w:rPr>
              <w:t>16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92490C">
              <w:rPr>
                <w:rFonts w:hAnsi="標楷體" w:hint="eastAsia"/>
                <w:sz w:val="24"/>
              </w:rPr>
              <w:t>二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0D0993" w:rsidRPr="0056149D" w:rsidRDefault="000D0993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嘉義縣自然史教育館「2016追尋古笨港風華」實地踏查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2" w:rsidRDefault="008C0CD2" w:rsidP="007C4D6A">
      <w:r>
        <w:separator/>
      </w:r>
    </w:p>
  </w:endnote>
  <w:endnote w:type="continuationSeparator" w:id="0">
    <w:p w:rsidR="008C0CD2" w:rsidRDefault="008C0CD2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2" w:rsidRDefault="008C0CD2" w:rsidP="007C4D6A">
      <w:r>
        <w:separator/>
      </w:r>
    </w:p>
  </w:footnote>
  <w:footnote w:type="continuationSeparator" w:id="0">
    <w:p w:rsidR="008C0CD2" w:rsidRDefault="008C0CD2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448E4"/>
    <w:rsid w:val="000641D8"/>
    <w:rsid w:val="000A390B"/>
    <w:rsid w:val="000A775F"/>
    <w:rsid w:val="000B6BAA"/>
    <w:rsid w:val="000D0993"/>
    <w:rsid w:val="00126670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2C1884"/>
    <w:rsid w:val="002C55CB"/>
    <w:rsid w:val="00323AF7"/>
    <w:rsid w:val="00324043"/>
    <w:rsid w:val="0033246B"/>
    <w:rsid w:val="0033742F"/>
    <w:rsid w:val="003859ED"/>
    <w:rsid w:val="003B6265"/>
    <w:rsid w:val="00450434"/>
    <w:rsid w:val="00457589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A37A3"/>
    <w:rsid w:val="005F3F3A"/>
    <w:rsid w:val="006113E2"/>
    <w:rsid w:val="006360F7"/>
    <w:rsid w:val="00644B17"/>
    <w:rsid w:val="006C0421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1428E"/>
    <w:rsid w:val="008154DF"/>
    <w:rsid w:val="00840583"/>
    <w:rsid w:val="00872AE7"/>
    <w:rsid w:val="0088546D"/>
    <w:rsid w:val="008A4A5D"/>
    <w:rsid w:val="008C0CD2"/>
    <w:rsid w:val="008D31E8"/>
    <w:rsid w:val="009158D5"/>
    <w:rsid w:val="0092490C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4B86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EE543D"/>
    <w:rsid w:val="00EF068D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229</Characters>
  <Application>Microsoft Office Word</Application>
  <DocSecurity>4</DocSecurity>
  <Lines>1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USER</cp:lastModifiedBy>
  <cp:revision>2</cp:revision>
  <cp:lastPrinted>2016-03-17T03:06:00Z</cp:lastPrinted>
  <dcterms:created xsi:type="dcterms:W3CDTF">2016-07-12T07:00:00Z</dcterms:created>
  <dcterms:modified xsi:type="dcterms:W3CDTF">2016-07-12T07:00:00Z</dcterms:modified>
</cp:coreProperties>
</file>