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AB" w:rsidRDefault="00E623AB" w:rsidP="00ED5ED0">
      <w:pPr>
        <w:tabs>
          <w:tab w:val="num" w:pos="612"/>
        </w:tabs>
        <w:snapToGrid w:val="0"/>
        <w:spacing w:line="300" w:lineRule="exact"/>
        <w:jc w:val="center"/>
        <w:rPr>
          <w:rFonts w:ascii="標楷體" w:eastAsia="標楷體" w:hAnsi="標楷體"/>
          <w:b/>
          <w:bCs/>
          <w:sz w:val="28"/>
          <w:szCs w:val="28"/>
        </w:rPr>
      </w:pPr>
      <w:bookmarkStart w:id="0" w:name="_GoBack"/>
      <w:bookmarkEnd w:id="0"/>
      <w:proofErr w:type="gramStart"/>
      <w:r>
        <w:rPr>
          <w:rFonts w:ascii="標楷體" w:eastAsia="標楷體" w:hAnsi="標楷體"/>
          <w:b/>
          <w:bCs/>
          <w:sz w:val="28"/>
          <w:szCs w:val="28"/>
        </w:rPr>
        <w:t>105</w:t>
      </w:r>
      <w:proofErr w:type="gramEnd"/>
      <w:r w:rsidRPr="005172CA">
        <w:rPr>
          <w:rFonts w:ascii="標楷體" w:eastAsia="標楷體" w:hAnsi="標楷體" w:hint="eastAsia"/>
          <w:b/>
          <w:bCs/>
          <w:sz w:val="28"/>
          <w:szCs w:val="28"/>
        </w:rPr>
        <w:t>年度嘉義縣國民教育輔導團數學學習領域</w:t>
      </w:r>
      <w:r>
        <w:rPr>
          <w:rFonts w:ascii="標楷體" w:eastAsia="標楷體" w:hAnsi="標楷體" w:hint="eastAsia"/>
          <w:b/>
          <w:bCs/>
          <w:sz w:val="28"/>
          <w:szCs w:val="28"/>
        </w:rPr>
        <w:t>國小組</w:t>
      </w:r>
    </w:p>
    <w:p w:rsidR="00E623AB" w:rsidRPr="005172CA" w:rsidRDefault="00E623AB" w:rsidP="00ED5ED0">
      <w:pPr>
        <w:tabs>
          <w:tab w:val="num" w:pos="612"/>
        </w:tabs>
        <w:snapToGrid w:val="0"/>
        <w:spacing w:line="300" w:lineRule="exact"/>
        <w:jc w:val="center"/>
        <w:rPr>
          <w:rFonts w:ascii="標楷體" w:eastAsia="標楷體" w:hAnsi="標楷體"/>
          <w:b/>
          <w:bCs/>
          <w:sz w:val="28"/>
          <w:szCs w:val="28"/>
        </w:rPr>
      </w:pPr>
      <w:r>
        <w:rPr>
          <w:rFonts w:ascii="標楷體" w:eastAsia="標楷體" w:hAnsi="標楷體" w:hint="eastAsia"/>
          <w:b/>
          <w:bCs/>
          <w:sz w:val="28"/>
          <w:szCs w:val="28"/>
        </w:rPr>
        <w:t>數學</w:t>
      </w:r>
      <w:proofErr w:type="gramStart"/>
      <w:r>
        <w:rPr>
          <w:rFonts w:ascii="標楷體" w:eastAsia="標楷體" w:hAnsi="標楷體" w:hint="eastAsia"/>
          <w:b/>
          <w:bCs/>
          <w:sz w:val="28"/>
          <w:szCs w:val="28"/>
        </w:rPr>
        <w:t>教師備課</w:t>
      </w:r>
      <w:r w:rsidRPr="005172CA">
        <w:rPr>
          <w:rFonts w:ascii="標楷體" w:eastAsia="標楷體" w:hAnsi="標楷體" w:hint="eastAsia"/>
          <w:b/>
          <w:sz w:val="28"/>
          <w:szCs w:val="28"/>
        </w:rPr>
        <w:t>專業</w:t>
      </w:r>
      <w:proofErr w:type="gramEnd"/>
      <w:r w:rsidRPr="005172CA">
        <w:rPr>
          <w:rFonts w:ascii="標楷體" w:eastAsia="標楷體" w:hAnsi="標楷體" w:hint="eastAsia"/>
          <w:b/>
          <w:sz w:val="28"/>
          <w:szCs w:val="28"/>
        </w:rPr>
        <w:t>成長</w:t>
      </w:r>
      <w:r>
        <w:rPr>
          <w:rFonts w:ascii="標楷體" w:eastAsia="標楷體" w:hAnsi="標楷體" w:hint="eastAsia"/>
          <w:b/>
          <w:sz w:val="28"/>
          <w:szCs w:val="28"/>
        </w:rPr>
        <w:t>工作坊</w:t>
      </w:r>
      <w:r w:rsidRPr="005172CA">
        <w:rPr>
          <w:rFonts w:ascii="標楷體" w:eastAsia="標楷體" w:hAnsi="標楷體" w:hint="eastAsia"/>
          <w:b/>
          <w:sz w:val="28"/>
          <w:szCs w:val="28"/>
        </w:rPr>
        <w:t>研習</w:t>
      </w:r>
      <w:r w:rsidRPr="005172CA">
        <w:rPr>
          <w:rFonts w:ascii="標楷體" w:eastAsia="標楷體" w:hAnsi="標楷體" w:hint="eastAsia"/>
          <w:b/>
          <w:bCs/>
          <w:sz w:val="28"/>
          <w:szCs w:val="28"/>
        </w:rPr>
        <w:t>計畫</w:t>
      </w:r>
    </w:p>
    <w:p w:rsidR="00E623AB" w:rsidRPr="002C40EA" w:rsidRDefault="00E623AB" w:rsidP="00ED5ED0">
      <w:pPr>
        <w:spacing w:line="440" w:lineRule="exact"/>
        <w:jc w:val="both"/>
        <w:rPr>
          <w:rFonts w:ascii="標楷體" w:eastAsia="標楷體" w:hAnsi="標楷體"/>
        </w:rPr>
      </w:pPr>
      <w:r w:rsidRPr="002C40EA">
        <w:rPr>
          <w:rFonts w:ascii="標楷體" w:eastAsia="標楷體" w:hAnsi="標楷體" w:hint="eastAsia"/>
        </w:rPr>
        <w:t>一、依據</w:t>
      </w:r>
    </w:p>
    <w:p w:rsidR="00E623AB" w:rsidRPr="001C648B" w:rsidRDefault="00E623AB" w:rsidP="00ED5ED0">
      <w:pPr>
        <w:spacing w:line="440" w:lineRule="exact"/>
        <w:ind w:left="720" w:rightChars="35" w:right="84" w:hangingChars="300" w:hanging="720"/>
        <w:jc w:val="both"/>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281DB5">
        <w:rPr>
          <w:rFonts w:ascii="標楷體" w:eastAsia="標楷體" w:hAnsi="標楷體" w:hint="eastAsia"/>
          <w:color w:val="000000"/>
          <w:szCs w:val="24"/>
        </w:rPr>
        <w:t>教育部國民及學前教育署補助辦理十二年國民基本教育精進國民中學及國民小學教學品質要點。</w:t>
      </w:r>
    </w:p>
    <w:p w:rsidR="00E623AB" w:rsidRDefault="00E623AB" w:rsidP="00ED5ED0">
      <w:pPr>
        <w:spacing w:line="440" w:lineRule="exact"/>
        <w:jc w:val="both"/>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E623AB" w:rsidRDefault="00E623AB" w:rsidP="00ED5ED0">
      <w:pPr>
        <w:spacing w:line="440" w:lineRule="exact"/>
        <w:jc w:val="both"/>
        <w:rPr>
          <w:rFonts w:ascii="標楷體" w:eastAsia="標楷體" w:hAnsi="標楷體"/>
        </w:rPr>
      </w:pPr>
      <w:r w:rsidRPr="002C40EA">
        <w:rPr>
          <w:rFonts w:ascii="標楷體" w:eastAsia="標楷體" w:hAnsi="標楷體" w:hint="eastAsia"/>
        </w:rPr>
        <w:t>二、目標</w:t>
      </w:r>
    </w:p>
    <w:p w:rsidR="00E623AB" w:rsidRPr="005272C4" w:rsidRDefault="00E623AB" w:rsidP="00ED5ED0">
      <w:pPr>
        <w:spacing w:line="440" w:lineRule="exact"/>
        <w:ind w:left="720" w:hangingChars="300" w:hanging="720"/>
        <w:jc w:val="both"/>
        <w:rPr>
          <w:rFonts w:ascii="標楷體" w:eastAsia="標楷體" w:hAnsi="標楷體" w:cs="TT35Co00"/>
          <w:color w:val="000000"/>
          <w:kern w:val="0"/>
        </w:rPr>
      </w:pPr>
      <w:r w:rsidRPr="005272C4">
        <w:rPr>
          <w:rFonts w:ascii="標楷體" w:eastAsia="標楷體" w:hAnsi="標楷體" w:cs="TT359o00" w:hint="eastAsia"/>
          <w:color w:val="000000"/>
          <w:kern w:val="0"/>
        </w:rPr>
        <w:t>（一）</w:t>
      </w:r>
      <w:r w:rsidRPr="002A20B4">
        <w:rPr>
          <w:rFonts w:ascii="標楷體" w:eastAsia="標楷體" w:hAnsi="標楷體" w:cs="TT359o00" w:hint="eastAsia"/>
          <w:color w:val="000000"/>
          <w:kern w:val="0"/>
        </w:rPr>
        <w:t>提供教</w:t>
      </w:r>
      <w:r>
        <w:rPr>
          <w:rFonts w:ascii="標楷體" w:eastAsia="標楷體" w:hAnsi="標楷體" w:cs="TT359o00" w:hint="eastAsia"/>
          <w:color w:val="000000"/>
          <w:kern w:val="0"/>
        </w:rPr>
        <w:t>數學</w:t>
      </w:r>
      <w:r w:rsidRPr="002A20B4">
        <w:rPr>
          <w:rFonts w:ascii="標楷體" w:eastAsia="標楷體" w:hAnsi="標楷體" w:cs="TT359o00" w:hint="eastAsia"/>
          <w:color w:val="000000"/>
          <w:kern w:val="0"/>
        </w:rPr>
        <w:t>師互動、專業引導和發展的情境，促進教師進行專業對話。透過集思廣益的方式，建構教師對於學科教學的理念，運用各種資料診斷學生的學習</w:t>
      </w:r>
      <w:r>
        <w:rPr>
          <w:rFonts w:ascii="標楷體" w:eastAsia="標楷體" w:hAnsi="標楷體" w:cs="TT359o00" w:hint="eastAsia"/>
          <w:color w:val="000000"/>
          <w:kern w:val="0"/>
        </w:rPr>
        <w:t>。</w:t>
      </w:r>
    </w:p>
    <w:p w:rsidR="00E623AB" w:rsidRPr="005272C4" w:rsidRDefault="00E623AB" w:rsidP="00ED5ED0">
      <w:pPr>
        <w:spacing w:line="440" w:lineRule="exact"/>
        <w:ind w:left="720" w:hangingChars="300" w:hanging="720"/>
        <w:jc w:val="both"/>
        <w:rPr>
          <w:rFonts w:ascii="標楷體" w:eastAsia="標楷體" w:hAnsi="標楷體" w:cs="TT359o00"/>
          <w:color w:val="000000"/>
          <w:kern w:val="0"/>
        </w:rPr>
      </w:pPr>
      <w:r w:rsidRPr="005272C4">
        <w:rPr>
          <w:rFonts w:ascii="標楷體" w:eastAsia="標楷體" w:hAnsi="標楷體" w:cs="TT359o00" w:hint="eastAsia"/>
          <w:color w:val="000000"/>
          <w:kern w:val="0"/>
        </w:rPr>
        <w:t>（二）</w:t>
      </w:r>
      <w:r w:rsidRPr="002A20B4">
        <w:rPr>
          <w:rFonts w:ascii="標楷體" w:eastAsia="標楷體" w:hAnsi="標楷體" w:cs="TT359o00" w:hint="eastAsia"/>
          <w:color w:val="000000"/>
          <w:kern w:val="0"/>
        </w:rPr>
        <w:t>提供</w:t>
      </w:r>
      <w:r>
        <w:rPr>
          <w:rFonts w:ascii="標楷體" w:eastAsia="標楷體" w:hAnsi="標楷體" w:cs="TT359o00" w:hint="eastAsia"/>
          <w:color w:val="000000"/>
          <w:kern w:val="0"/>
        </w:rPr>
        <w:t>數學</w:t>
      </w:r>
      <w:r w:rsidRPr="002A20B4">
        <w:rPr>
          <w:rFonts w:ascii="標楷體" w:eastAsia="標楷體" w:hAnsi="標楷體" w:cs="TT359o00" w:hint="eastAsia"/>
          <w:color w:val="000000"/>
          <w:kern w:val="0"/>
        </w:rPr>
        <w:t>教師一個課程發展平台，進行更新課程組織、教學策略、評量模式等，使老師的教與學生的學能持續改進。</w:t>
      </w:r>
    </w:p>
    <w:p w:rsidR="00E623AB" w:rsidRPr="005272C4" w:rsidRDefault="00E623AB" w:rsidP="00ED5ED0">
      <w:pPr>
        <w:spacing w:line="440" w:lineRule="exact"/>
        <w:ind w:left="720" w:hangingChars="300" w:hanging="720"/>
        <w:jc w:val="both"/>
        <w:rPr>
          <w:rFonts w:ascii="標楷體" w:eastAsia="標楷體" w:hAnsi="標楷體"/>
          <w:color w:val="000000"/>
        </w:rPr>
      </w:pPr>
      <w:r w:rsidRPr="005272C4">
        <w:rPr>
          <w:rFonts w:ascii="標楷體" w:eastAsia="標楷體" w:hAnsi="標楷體" w:cs="TT359o00" w:hint="eastAsia"/>
          <w:color w:val="000000"/>
          <w:kern w:val="0"/>
        </w:rPr>
        <w:t>（三）</w:t>
      </w:r>
      <w:r w:rsidRPr="002A20B4">
        <w:rPr>
          <w:rFonts w:ascii="標楷體" w:eastAsia="標楷體" w:hAnsi="標楷體" w:cs="TT359o00" w:hint="eastAsia"/>
          <w:color w:val="000000"/>
          <w:kern w:val="0"/>
        </w:rPr>
        <w:t>共同</w:t>
      </w:r>
      <w:proofErr w:type="gramStart"/>
      <w:r w:rsidRPr="002A20B4">
        <w:rPr>
          <w:rFonts w:ascii="標楷體" w:eastAsia="標楷體" w:hAnsi="標楷體" w:cs="TT359o00" w:hint="eastAsia"/>
          <w:color w:val="000000"/>
          <w:kern w:val="0"/>
        </w:rPr>
        <w:t>對整冊教材</w:t>
      </w:r>
      <w:proofErr w:type="gramEnd"/>
      <w:r w:rsidRPr="002A20B4">
        <w:rPr>
          <w:rFonts w:ascii="標楷體" w:eastAsia="標楷體" w:hAnsi="標楷體" w:cs="TT359o00" w:hint="eastAsia"/>
          <w:color w:val="000000"/>
          <w:kern w:val="0"/>
        </w:rPr>
        <w:t>單元內容做解構及再建構的重組</w:t>
      </w:r>
      <w:r>
        <w:rPr>
          <w:rFonts w:ascii="標楷體" w:eastAsia="標楷體" w:hAnsi="標楷體" w:cs="TT359o00" w:hint="eastAsia"/>
          <w:color w:val="000000"/>
          <w:kern w:val="0"/>
        </w:rPr>
        <w:t>，</w:t>
      </w:r>
      <w:r w:rsidRPr="002A20B4">
        <w:rPr>
          <w:rFonts w:ascii="標楷體" w:eastAsia="標楷體" w:hAnsi="標楷體" w:cs="TT359o00" w:hint="eastAsia"/>
          <w:color w:val="000000"/>
          <w:kern w:val="0"/>
        </w:rPr>
        <w:t>對單元教學做系統性、整體性的設計</w:t>
      </w:r>
      <w:r>
        <w:rPr>
          <w:rFonts w:ascii="標楷體" w:eastAsia="標楷體" w:hAnsi="標楷體" w:cs="TT359o00" w:hint="eastAsia"/>
          <w:color w:val="000000"/>
          <w:kern w:val="0"/>
        </w:rPr>
        <w:t>，</w:t>
      </w:r>
      <w:r w:rsidRPr="002A20B4">
        <w:rPr>
          <w:rFonts w:ascii="標楷體" w:eastAsia="標楷體" w:hAnsi="標楷體" w:cs="TT359o00" w:hint="eastAsia"/>
          <w:color w:val="000000"/>
          <w:kern w:val="0"/>
        </w:rPr>
        <w:t>分享教學研究與經驗。</w:t>
      </w:r>
    </w:p>
    <w:p w:rsidR="00E623AB" w:rsidRPr="002C40EA" w:rsidRDefault="00E623AB" w:rsidP="00ED5ED0">
      <w:pPr>
        <w:spacing w:line="440" w:lineRule="exact"/>
        <w:jc w:val="both"/>
        <w:rPr>
          <w:rFonts w:ascii="標楷體" w:eastAsia="標楷體" w:hAnsi="標楷體"/>
        </w:rPr>
      </w:pPr>
      <w:r w:rsidRPr="002C40EA">
        <w:rPr>
          <w:rFonts w:ascii="標楷體" w:eastAsia="標楷體" w:hAnsi="標楷體" w:hint="eastAsia"/>
        </w:rPr>
        <w:t>三、指導單位：</w:t>
      </w:r>
      <w:r w:rsidRPr="005272C4">
        <w:rPr>
          <w:rFonts w:ascii="標楷體" w:eastAsia="標楷體" w:hAnsi="標楷體" w:cs="Arial" w:hint="eastAsia"/>
          <w:color w:val="000000"/>
        </w:rPr>
        <w:t>教育部國民及學前教育署</w:t>
      </w:r>
    </w:p>
    <w:p w:rsidR="00E623AB" w:rsidRPr="002C40EA" w:rsidRDefault="00E623AB" w:rsidP="00ED5ED0">
      <w:pPr>
        <w:spacing w:line="440" w:lineRule="exact"/>
        <w:jc w:val="both"/>
        <w:rPr>
          <w:rFonts w:ascii="標楷體" w:eastAsia="標楷體" w:hAnsi="標楷體"/>
        </w:rPr>
      </w:pPr>
      <w:r w:rsidRPr="002C40EA">
        <w:rPr>
          <w:rFonts w:ascii="標楷體" w:eastAsia="標楷體" w:hAnsi="標楷體" w:hint="eastAsia"/>
        </w:rPr>
        <w:t>四、主辦單位：嘉義縣政府</w:t>
      </w:r>
    </w:p>
    <w:p w:rsidR="00E623AB" w:rsidRPr="002C40EA" w:rsidRDefault="00E623AB" w:rsidP="00ED5ED0">
      <w:pPr>
        <w:spacing w:line="440" w:lineRule="exact"/>
        <w:jc w:val="both"/>
        <w:rPr>
          <w:rFonts w:ascii="標楷體" w:eastAsia="標楷體" w:hAnsi="標楷體"/>
        </w:rPr>
      </w:pPr>
      <w:r>
        <w:rPr>
          <w:rFonts w:ascii="標楷體" w:eastAsia="標楷體" w:hAnsi="標楷體" w:hint="eastAsia"/>
        </w:rPr>
        <w:t>五</w:t>
      </w:r>
      <w:r w:rsidRPr="002C40EA">
        <w:rPr>
          <w:rFonts w:ascii="標楷體" w:eastAsia="標楷體" w:hAnsi="標楷體" w:hint="eastAsia"/>
        </w:rPr>
        <w:t>、承辦單位：</w:t>
      </w:r>
      <w:r>
        <w:rPr>
          <w:rFonts w:ascii="標楷體" w:eastAsia="標楷體" w:hAnsi="標楷體" w:hint="eastAsia"/>
        </w:rPr>
        <w:t>嘉義縣月眉國小、嘉義縣興中國小、數學領域輔導團</w:t>
      </w:r>
    </w:p>
    <w:p w:rsidR="00E623AB" w:rsidRDefault="00E623AB" w:rsidP="00ED5ED0">
      <w:pPr>
        <w:spacing w:line="440" w:lineRule="exact"/>
        <w:jc w:val="both"/>
        <w:rPr>
          <w:rFonts w:ascii="標楷體" w:eastAsia="標楷體" w:hAnsi="標楷體" w:cs="Arial"/>
        </w:rPr>
      </w:pPr>
      <w:r>
        <w:rPr>
          <w:rFonts w:ascii="標楷體" w:eastAsia="標楷體" w:hAnsi="標楷體" w:hint="eastAsia"/>
        </w:rPr>
        <w:t>六</w:t>
      </w:r>
      <w:r w:rsidRPr="002C40EA">
        <w:rPr>
          <w:rFonts w:ascii="標楷體" w:eastAsia="標楷體" w:hAnsi="標楷體" w:hint="eastAsia"/>
        </w:rPr>
        <w:t>、辦理時間：</w:t>
      </w:r>
      <w:r>
        <w:rPr>
          <w:rFonts w:ascii="標楷體" w:eastAsia="標楷體" w:hAnsi="標楷體"/>
          <w:color w:val="000000"/>
          <w:spacing w:val="6"/>
        </w:rPr>
        <w:t>105</w:t>
      </w:r>
      <w:r w:rsidRPr="005C2C6F">
        <w:rPr>
          <w:rFonts w:ascii="標楷體" w:eastAsia="標楷體" w:hAnsi="標楷體" w:hint="eastAsia"/>
          <w:color w:val="000000"/>
          <w:spacing w:val="6"/>
        </w:rPr>
        <w:t>年</w:t>
      </w:r>
      <w:r>
        <w:rPr>
          <w:rFonts w:ascii="標楷體" w:eastAsia="標楷體" w:hAnsi="標楷體"/>
          <w:color w:val="000000"/>
          <w:spacing w:val="6"/>
        </w:rPr>
        <w:t>7</w:t>
      </w:r>
      <w:r>
        <w:rPr>
          <w:rFonts w:ascii="標楷體" w:eastAsia="標楷體" w:hAnsi="標楷體" w:hint="eastAsia"/>
          <w:color w:val="000000"/>
          <w:spacing w:val="6"/>
        </w:rPr>
        <w:t>月</w:t>
      </w:r>
      <w:r>
        <w:rPr>
          <w:rFonts w:ascii="標楷體" w:eastAsia="標楷體" w:hAnsi="標楷體"/>
          <w:color w:val="000000"/>
          <w:spacing w:val="6"/>
        </w:rPr>
        <w:t>4-5</w:t>
      </w:r>
      <w:r>
        <w:rPr>
          <w:rFonts w:ascii="標楷體" w:eastAsia="標楷體" w:hAnsi="標楷體" w:hint="eastAsia"/>
          <w:color w:val="000000"/>
          <w:spacing w:val="6"/>
        </w:rPr>
        <w:t>日</w:t>
      </w:r>
      <w:r w:rsidRPr="00581C10">
        <w:rPr>
          <w:rFonts w:ascii="標楷體" w:eastAsia="標楷體" w:hAnsi="標楷體" w:hint="eastAsia"/>
          <w:spacing w:val="6"/>
        </w:rPr>
        <w:t>共</w:t>
      </w:r>
      <w:r>
        <w:rPr>
          <w:rFonts w:ascii="標楷體" w:eastAsia="標楷體" w:hAnsi="標楷體" w:hint="eastAsia"/>
          <w:spacing w:val="6"/>
        </w:rPr>
        <w:t>二</w:t>
      </w:r>
      <w:r w:rsidRPr="00581C10">
        <w:rPr>
          <w:rFonts w:ascii="標楷體" w:eastAsia="標楷體" w:hAnsi="標楷體" w:hint="eastAsia"/>
          <w:spacing w:val="6"/>
        </w:rPr>
        <w:t>天</w:t>
      </w:r>
      <w:r>
        <w:rPr>
          <w:rFonts w:ascii="標楷體" w:eastAsia="標楷體" w:hAnsi="標楷體" w:hint="eastAsia"/>
          <w:spacing w:val="6"/>
        </w:rPr>
        <w:t>。</w:t>
      </w:r>
    </w:p>
    <w:p w:rsidR="00E623AB" w:rsidRDefault="00E623AB" w:rsidP="00ED5ED0">
      <w:pPr>
        <w:spacing w:line="440" w:lineRule="exact"/>
        <w:jc w:val="both"/>
        <w:rPr>
          <w:rFonts w:ascii="標楷體" w:eastAsia="標楷體" w:hAnsi="標楷體"/>
        </w:rPr>
      </w:pPr>
      <w:r>
        <w:rPr>
          <w:rFonts w:ascii="標楷體" w:eastAsia="標楷體" w:hAnsi="標楷體" w:hint="eastAsia"/>
        </w:rPr>
        <w:t>七</w:t>
      </w:r>
      <w:r w:rsidRPr="002C40EA">
        <w:rPr>
          <w:rFonts w:ascii="標楷體" w:eastAsia="標楷體" w:hAnsi="標楷體" w:hint="eastAsia"/>
        </w:rPr>
        <w:t>、活動地點：</w:t>
      </w:r>
      <w:r>
        <w:rPr>
          <w:rFonts w:ascii="標楷體" w:eastAsia="標楷體" w:hAnsi="標楷體" w:hint="eastAsia"/>
        </w:rPr>
        <w:t>嘉義縣興中國小</w:t>
      </w:r>
      <w:proofErr w:type="gramStart"/>
      <w:r>
        <w:rPr>
          <w:rFonts w:ascii="標楷體" w:eastAsia="標楷體" w:hAnsi="標楷體" w:hint="eastAsia"/>
        </w:rPr>
        <w:t>（</w:t>
      </w:r>
      <w:proofErr w:type="gramEnd"/>
      <w:r>
        <w:rPr>
          <w:rFonts w:ascii="標楷體" w:eastAsia="標楷體" w:hAnsi="標楷體" w:hint="eastAsia"/>
        </w:rPr>
        <w:t>外聘講師：台中教育</w:t>
      </w:r>
      <w:proofErr w:type="gramStart"/>
      <w:r>
        <w:rPr>
          <w:rFonts w:ascii="標楷體" w:eastAsia="標楷體" w:hAnsi="標楷體" w:hint="eastAsia"/>
        </w:rPr>
        <w:t>大學數教系</w:t>
      </w:r>
      <w:proofErr w:type="gramEnd"/>
      <w:r>
        <w:rPr>
          <w:rFonts w:ascii="標楷體" w:eastAsia="標楷體" w:hAnsi="標楷體" w:hint="eastAsia"/>
        </w:rPr>
        <w:t>陳嘉皇副教授</w:t>
      </w:r>
      <w:proofErr w:type="gramStart"/>
      <w:r>
        <w:rPr>
          <w:rFonts w:ascii="標楷體" w:eastAsia="標楷體" w:hAnsi="標楷體" w:hint="eastAsia"/>
        </w:rPr>
        <w:t>）</w:t>
      </w:r>
      <w:proofErr w:type="gramEnd"/>
    </w:p>
    <w:p w:rsidR="00E623AB" w:rsidRPr="00FB13C6" w:rsidRDefault="00E623AB" w:rsidP="00FB13C6">
      <w:pPr>
        <w:spacing w:line="400" w:lineRule="exact"/>
        <w:ind w:left="1680" w:hangingChars="700" w:hanging="1680"/>
        <w:jc w:val="both"/>
        <w:rPr>
          <w:rFonts w:ascii="標楷體" w:eastAsia="標楷體" w:hAnsi="標楷體" w:cs="Arial"/>
          <w:b/>
          <w:sz w:val="28"/>
          <w:szCs w:val="28"/>
          <w:u w:val="single"/>
        </w:rPr>
      </w:pPr>
      <w:r>
        <w:rPr>
          <w:rFonts w:ascii="標楷體" w:eastAsia="標楷體" w:hAnsi="標楷體" w:hint="eastAsia"/>
        </w:rPr>
        <w:t>八</w:t>
      </w:r>
      <w:r w:rsidRPr="002C40EA">
        <w:rPr>
          <w:rFonts w:ascii="標楷體" w:eastAsia="標楷體" w:hAnsi="標楷體" w:hint="eastAsia"/>
        </w:rPr>
        <w:t>、參加</w:t>
      </w:r>
      <w:proofErr w:type="gramStart"/>
      <w:r w:rsidRPr="002C40EA">
        <w:rPr>
          <w:rFonts w:ascii="標楷體" w:eastAsia="標楷體" w:hAnsi="標楷體" w:hint="eastAsia"/>
        </w:rPr>
        <w:t>對象</w:t>
      </w:r>
      <w:r>
        <w:rPr>
          <w:rFonts w:ascii="標楷體" w:eastAsia="標楷體" w:hAnsi="標楷體" w:hint="eastAsia"/>
        </w:rPr>
        <w:t>與課前</w:t>
      </w:r>
      <w:proofErr w:type="gramEnd"/>
      <w:r>
        <w:rPr>
          <w:rFonts w:ascii="標楷體" w:eastAsia="標楷體" w:hAnsi="標楷體" w:hint="eastAsia"/>
        </w:rPr>
        <w:t>準備</w:t>
      </w:r>
      <w:r w:rsidRPr="002C40EA">
        <w:rPr>
          <w:rFonts w:ascii="標楷體" w:eastAsia="標楷體" w:hAnsi="標楷體" w:hint="eastAsia"/>
        </w:rPr>
        <w:t>：</w:t>
      </w:r>
      <w:r w:rsidRPr="00BB0C4A">
        <w:rPr>
          <w:rFonts w:ascii="標楷體" w:eastAsia="標楷體" w:hAnsi="標楷體" w:hint="eastAsia"/>
          <w:szCs w:val="24"/>
        </w:rPr>
        <w:t>全體輔導團員</w:t>
      </w:r>
      <w:r w:rsidRPr="00BB0C4A">
        <w:rPr>
          <w:rFonts w:ascii="標楷體" w:eastAsia="標楷體" w:hAnsi="標楷體" w:hint="eastAsia"/>
          <w:spacing w:val="6"/>
          <w:szCs w:val="24"/>
        </w:rPr>
        <w:t>及實際擔任</w:t>
      </w:r>
      <w:r w:rsidRPr="00BB0C4A">
        <w:rPr>
          <w:rFonts w:ascii="標楷體" w:eastAsia="標楷體" w:hAnsi="標楷體" w:cs="Arial" w:hint="eastAsia"/>
          <w:szCs w:val="24"/>
        </w:rPr>
        <w:t>數學教師</w:t>
      </w:r>
      <w:r w:rsidRPr="00033E6B">
        <w:rPr>
          <w:rFonts w:ascii="標楷體" w:eastAsia="標楷體" w:hAnsi="標楷體" w:cs="Arial" w:hint="eastAsia"/>
        </w:rPr>
        <w:t>，</w:t>
      </w:r>
      <w:r w:rsidRPr="00BB0C4A">
        <w:rPr>
          <w:rFonts w:ascii="標楷體" w:eastAsia="標楷體" w:hAnsi="標楷體" w:cs="Arial" w:hint="eastAsia"/>
          <w:b/>
          <w:sz w:val="28"/>
          <w:szCs w:val="28"/>
          <w:u w:val="single"/>
        </w:rPr>
        <w:t>合計</w:t>
      </w:r>
      <w:r w:rsidRPr="00BB0C4A">
        <w:rPr>
          <w:rFonts w:ascii="標楷體" w:eastAsia="標楷體" w:hAnsi="標楷體" w:cs="Arial"/>
          <w:b/>
          <w:sz w:val="28"/>
          <w:szCs w:val="28"/>
          <w:u w:val="single"/>
        </w:rPr>
        <w:t>30</w:t>
      </w:r>
      <w:r w:rsidRPr="00BB0C4A">
        <w:rPr>
          <w:rFonts w:ascii="標楷體" w:eastAsia="標楷體" w:hAnsi="標楷體" w:cs="Arial" w:hint="eastAsia"/>
          <w:b/>
          <w:sz w:val="28"/>
          <w:szCs w:val="28"/>
          <w:u w:val="single"/>
        </w:rPr>
        <w:t>人</w:t>
      </w:r>
      <w:r w:rsidRPr="00BB0C4A">
        <w:rPr>
          <w:rFonts w:ascii="標楷體" w:eastAsia="標楷體" w:hAnsi="標楷體" w:cs="標楷體" w:hint="eastAsia"/>
          <w:b/>
          <w:sz w:val="28"/>
          <w:szCs w:val="28"/>
          <w:u w:val="single"/>
        </w:rPr>
        <w:t>，</w:t>
      </w:r>
      <w:r w:rsidRPr="00C31CC2">
        <w:rPr>
          <w:rFonts w:ascii="標楷體" w:eastAsia="標楷體" w:hAnsi="標楷體" w:cs="標楷體" w:hint="eastAsia"/>
          <w:b/>
          <w:color w:val="FF0000"/>
          <w:sz w:val="28"/>
          <w:szCs w:val="28"/>
          <w:u w:val="single"/>
          <w:shd w:val="pct15" w:color="auto" w:fill="FFFFFF"/>
        </w:rPr>
        <w:t>參加課程的</w:t>
      </w:r>
      <w:r w:rsidRPr="00C31CC2">
        <w:rPr>
          <w:rFonts w:ascii="標楷體" w:eastAsia="標楷體" w:hAnsi="標楷體" w:cs="Arial" w:hint="eastAsia"/>
          <w:b/>
          <w:color w:val="FF0000"/>
          <w:sz w:val="28"/>
          <w:szCs w:val="28"/>
          <w:u w:val="single"/>
          <w:shd w:val="pct15" w:color="auto" w:fill="FFFFFF"/>
        </w:rPr>
        <w:t>老師請務必攜帶教科書</w:t>
      </w:r>
      <w:r w:rsidRPr="00BB0C4A">
        <w:rPr>
          <w:rFonts w:ascii="標楷體" w:eastAsia="標楷體" w:hAnsi="標楷體" w:cs="Arial" w:hint="eastAsia"/>
          <w:b/>
          <w:color w:val="222222"/>
          <w:sz w:val="28"/>
          <w:szCs w:val="28"/>
          <w:u w:val="single"/>
          <w:shd w:val="clear" w:color="auto" w:fill="FFFFFF"/>
        </w:rPr>
        <w:t>。</w:t>
      </w:r>
      <w:r w:rsidRPr="00BB0C4A">
        <w:rPr>
          <w:rFonts w:ascii="標楷體" w:eastAsia="標楷體" w:hAnsi="標楷體" w:cs="標楷體" w:hint="eastAsia"/>
          <w:b/>
          <w:sz w:val="28"/>
          <w:szCs w:val="28"/>
          <w:u w:val="single"/>
        </w:rPr>
        <w:t>名額有限，</w:t>
      </w:r>
      <w:r w:rsidRPr="00BB0C4A">
        <w:rPr>
          <w:rFonts w:ascii="標楷體" w:eastAsia="標楷體" w:hAnsi="標楷體" w:cs="Arial" w:hint="eastAsia"/>
          <w:b/>
          <w:sz w:val="28"/>
          <w:szCs w:val="28"/>
          <w:u w:val="single"/>
        </w:rPr>
        <w:t>以</w:t>
      </w:r>
      <w:proofErr w:type="gramStart"/>
      <w:r w:rsidRPr="00BB0C4A">
        <w:rPr>
          <w:rFonts w:ascii="標楷體" w:eastAsia="標楷體" w:hAnsi="標楷體" w:cs="Arial" w:hint="eastAsia"/>
          <w:b/>
          <w:sz w:val="28"/>
          <w:szCs w:val="28"/>
          <w:u w:val="single"/>
        </w:rPr>
        <w:t>在職進修線上報名</w:t>
      </w:r>
      <w:proofErr w:type="gramEnd"/>
      <w:r w:rsidRPr="00BB0C4A">
        <w:rPr>
          <w:rFonts w:ascii="標楷體" w:eastAsia="標楷體" w:hAnsi="標楷體" w:cs="Arial" w:hint="eastAsia"/>
          <w:b/>
          <w:sz w:val="28"/>
          <w:szCs w:val="28"/>
          <w:u w:val="single"/>
        </w:rPr>
        <w:t>先後順序錄取，不開放現場報名參加</w:t>
      </w:r>
      <w:r w:rsidRPr="00FB13C6">
        <w:rPr>
          <w:rFonts w:ascii="標楷體" w:eastAsia="標楷體" w:hAnsi="標楷體" w:cs="Arial" w:hint="eastAsia"/>
          <w:sz w:val="28"/>
          <w:szCs w:val="28"/>
        </w:rPr>
        <w:t>。</w:t>
      </w:r>
    </w:p>
    <w:p w:rsidR="00E623AB" w:rsidRPr="002A65B2" w:rsidRDefault="00E623AB" w:rsidP="00ED5ED0">
      <w:pPr>
        <w:widowControl/>
        <w:spacing w:line="440" w:lineRule="exact"/>
        <w:jc w:val="both"/>
        <w:rPr>
          <w:rFonts w:ascii="標楷體" w:eastAsia="標楷體" w:hAnsi="標楷體"/>
        </w:rPr>
      </w:pPr>
      <w:r>
        <w:rPr>
          <w:rFonts w:ascii="標楷體" w:eastAsia="標楷體" w:hAnsi="標楷體" w:hint="eastAsia"/>
        </w:rPr>
        <w:t>九、活動內容及流程表</w:t>
      </w:r>
    </w:p>
    <w:p w:rsidR="00E623AB" w:rsidRDefault="00E623AB" w:rsidP="00FB13C6">
      <w:pPr>
        <w:spacing w:afterLines="50" w:after="180"/>
        <w:ind w:left="756" w:hangingChars="300" w:hanging="756"/>
        <w:rPr>
          <w:rFonts w:ascii="標楷體" w:eastAsia="標楷體" w:hAnsi="標楷體" w:cs="Arial"/>
        </w:rPr>
      </w:pPr>
      <w:r>
        <w:rPr>
          <w:rFonts w:ascii="標楷體" w:eastAsia="標楷體" w:hAnsi="標楷體" w:hint="eastAsia"/>
          <w:spacing w:val="6"/>
        </w:rPr>
        <w:t>第一天</w:t>
      </w:r>
      <w:r>
        <w:rPr>
          <w:rFonts w:ascii="標楷體" w:eastAsia="標楷體" w:hAnsi="標楷體" w:cs="Arial" w:hint="eastAsia"/>
        </w:rPr>
        <w:t>：</w:t>
      </w:r>
      <w:r>
        <w:rPr>
          <w:rFonts w:ascii="標楷體" w:eastAsia="標楷體" w:hAnsi="標楷體" w:cs="Arial"/>
        </w:rPr>
        <w:t>7</w:t>
      </w:r>
      <w:r>
        <w:rPr>
          <w:rFonts w:ascii="標楷體" w:eastAsia="標楷體" w:hAnsi="標楷體" w:cs="Arial" w:hint="eastAsia"/>
        </w:rPr>
        <w:t>月</w:t>
      </w:r>
      <w:r>
        <w:rPr>
          <w:rFonts w:ascii="標楷體" w:eastAsia="標楷體" w:hAnsi="標楷體" w:cs="Arial"/>
        </w:rPr>
        <w:t>4</w:t>
      </w:r>
      <w:r>
        <w:rPr>
          <w:rFonts w:ascii="標楷體" w:eastAsia="標楷體" w:hAnsi="標楷體" w:cs="Arial"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595"/>
        <w:gridCol w:w="2674"/>
      </w:tblGrid>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時間</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課程內容</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主講人或主持人</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08</w:t>
            </w:r>
            <w:r w:rsidRPr="00C31CC2">
              <w:rPr>
                <w:rFonts w:ascii="標楷體" w:eastAsia="標楷體" w:hAnsi="標楷體" w:hint="eastAsia"/>
                <w:color w:val="FF0000"/>
              </w:rPr>
              <w:t>：</w:t>
            </w:r>
            <w:r w:rsidRPr="00C31CC2">
              <w:rPr>
                <w:rFonts w:ascii="標楷體" w:eastAsia="標楷體" w:hAnsi="標楷體"/>
                <w:color w:val="FF0000"/>
              </w:rPr>
              <w:t>40</w:t>
            </w:r>
            <w:r w:rsidRPr="00C31CC2">
              <w:rPr>
                <w:rFonts w:ascii="標楷體" w:eastAsia="標楷體" w:hAnsi="標楷體" w:hint="eastAsia"/>
                <w:color w:val="FF0000"/>
              </w:rPr>
              <w:t>～</w:t>
            </w:r>
            <w:r w:rsidRPr="00C31CC2">
              <w:rPr>
                <w:rFonts w:ascii="標楷體" w:eastAsia="標楷體" w:hAnsi="標楷體"/>
                <w:color w:val="FF0000"/>
              </w:rPr>
              <w:t>09</w:t>
            </w:r>
            <w:r w:rsidRPr="00C31CC2">
              <w:rPr>
                <w:rFonts w:ascii="標楷體" w:eastAsia="標楷體" w:hAnsi="標楷體" w:hint="eastAsia"/>
                <w:color w:val="FF0000"/>
              </w:rPr>
              <w:t>：</w:t>
            </w:r>
            <w:r w:rsidRPr="00C31CC2">
              <w:rPr>
                <w:rFonts w:ascii="標楷體" w:eastAsia="標楷體" w:hAnsi="標楷體"/>
                <w:color w:val="FF0000"/>
              </w:rPr>
              <w:t>00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報到</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數學領域輔導員</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09</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12</w:t>
            </w:r>
            <w:r w:rsidRPr="00C31CC2">
              <w:rPr>
                <w:rFonts w:ascii="標楷體" w:eastAsia="標楷體" w:hAnsi="標楷體" w:hint="eastAsia"/>
                <w:color w:val="FF0000"/>
              </w:rPr>
              <w:t>：</w:t>
            </w:r>
            <w:r w:rsidRPr="00C31CC2">
              <w:rPr>
                <w:rFonts w:ascii="標楷體" w:eastAsia="標楷體" w:hAnsi="標楷體"/>
                <w:color w:val="FF0000"/>
              </w:rPr>
              <w:t>00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cs="Arial" w:hint="eastAsia"/>
                <w:color w:val="FF0000"/>
                <w:sz w:val="23"/>
                <w:szCs w:val="23"/>
                <w:shd w:val="clear" w:color="auto" w:fill="FFFFFF"/>
              </w:rPr>
              <w:t>數學教科書內容與語意分析</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陳嘉皇副教授</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12</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13</w:t>
            </w:r>
            <w:r w:rsidRPr="00C31CC2">
              <w:rPr>
                <w:rFonts w:ascii="標楷體" w:eastAsia="標楷體" w:hAnsi="標楷體" w:hint="eastAsia"/>
                <w:color w:val="FF0000"/>
              </w:rPr>
              <w:t>：</w:t>
            </w:r>
            <w:r w:rsidRPr="00C31CC2">
              <w:rPr>
                <w:rFonts w:ascii="標楷體" w:eastAsia="標楷體" w:hAnsi="標楷體"/>
                <w:color w:val="FF0000"/>
              </w:rPr>
              <w:t>00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午餐時間</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數學領域輔導員</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13</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15</w:t>
            </w:r>
            <w:r w:rsidRPr="00C31CC2">
              <w:rPr>
                <w:rFonts w:ascii="標楷體" w:eastAsia="標楷體" w:hAnsi="標楷體" w:hint="eastAsia"/>
                <w:color w:val="FF0000"/>
              </w:rPr>
              <w:t>：</w:t>
            </w:r>
            <w:r w:rsidRPr="00C31CC2">
              <w:rPr>
                <w:rFonts w:ascii="標楷體" w:eastAsia="標楷體" w:hAnsi="標楷體"/>
                <w:color w:val="FF0000"/>
              </w:rPr>
              <w:t>30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cs="Arial" w:hint="eastAsia"/>
                <w:color w:val="FF0000"/>
                <w:sz w:val="23"/>
                <w:szCs w:val="23"/>
                <w:shd w:val="clear" w:color="auto" w:fill="FFFFFF"/>
              </w:rPr>
              <w:t>表徵在數學教學上的應用</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陳嘉皇副教授</w:t>
            </w:r>
          </w:p>
        </w:tc>
      </w:tr>
    </w:tbl>
    <w:p w:rsidR="00E623AB" w:rsidRDefault="00E623AB" w:rsidP="00FB13C6">
      <w:pPr>
        <w:spacing w:afterLines="50" w:after="180"/>
        <w:rPr>
          <w:rFonts w:ascii="標楷體" w:eastAsia="標楷體" w:hAnsi="標楷體" w:cs="Arial"/>
        </w:rPr>
      </w:pPr>
    </w:p>
    <w:p w:rsidR="00E623AB" w:rsidRDefault="00E623AB" w:rsidP="00FB13C6">
      <w:pPr>
        <w:spacing w:afterLines="50" w:after="180"/>
        <w:ind w:left="756" w:hangingChars="300" w:hanging="756"/>
        <w:rPr>
          <w:rFonts w:ascii="標楷體" w:eastAsia="標楷體" w:hAnsi="標楷體" w:cs="Arial"/>
        </w:rPr>
      </w:pPr>
      <w:r>
        <w:rPr>
          <w:rFonts w:ascii="標楷體" w:eastAsia="標楷體" w:hAnsi="標楷體" w:hint="eastAsia"/>
          <w:spacing w:val="6"/>
        </w:rPr>
        <w:t>第二天</w:t>
      </w:r>
      <w:r>
        <w:rPr>
          <w:rFonts w:ascii="標楷體" w:eastAsia="標楷體" w:hAnsi="標楷體" w:cs="Arial" w:hint="eastAsia"/>
        </w:rPr>
        <w:t>：</w:t>
      </w:r>
      <w:r>
        <w:rPr>
          <w:rFonts w:ascii="標楷體" w:eastAsia="標楷體" w:hAnsi="標楷體" w:cs="Arial"/>
        </w:rPr>
        <w:t>7</w:t>
      </w:r>
      <w:r>
        <w:rPr>
          <w:rFonts w:ascii="標楷體" w:eastAsia="標楷體" w:hAnsi="標楷體" w:cs="Arial" w:hint="eastAsia"/>
        </w:rPr>
        <w:t>月</w:t>
      </w:r>
      <w:r>
        <w:rPr>
          <w:rFonts w:ascii="標楷體" w:eastAsia="標楷體" w:hAnsi="標楷體" w:cs="Arial"/>
        </w:rPr>
        <w:t>5</w:t>
      </w:r>
      <w:r>
        <w:rPr>
          <w:rFonts w:ascii="標楷體" w:eastAsia="標楷體" w:hAnsi="標楷體" w:cs="Arial"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595"/>
        <w:gridCol w:w="2674"/>
      </w:tblGrid>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時間</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課程內容</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主講人或主持人</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09</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09</w:t>
            </w:r>
            <w:r w:rsidRPr="00C31CC2">
              <w:rPr>
                <w:rFonts w:ascii="標楷體" w:eastAsia="標楷體" w:hAnsi="標楷體" w:hint="eastAsia"/>
                <w:color w:val="FF0000"/>
              </w:rPr>
              <w:t>：</w:t>
            </w:r>
            <w:r w:rsidRPr="00C31CC2">
              <w:rPr>
                <w:rFonts w:ascii="標楷體" w:eastAsia="標楷體" w:hAnsi="標楷體"/>
                <w:color w:val="FF0000"/>
              </w:rPr>
              <w:t>20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報到</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數學領域輔導員</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lastRenderedPageBreak/>
              <w:t>08</w:t>
            </w:r>
            <w:r w:rsidRPr="00C31CC2">
              <w:rPr>
                <w:rFonts w:ascii="標楷體" w:eastAsia="標楷體" w:hAnsi="標楷體" w:hint="eastAsia"/>
                <w:color w:val="FF0000"/>
              </w:rPr>
              <w:t>：</w:t>
            </w:r>
            <w:r w:rsidRPr="00C31CC2">
              <w:rPr>
                <w:rFonts w:ascii="標楷體" w:eastAsia="標楷體" w:hAnsi="標楷體"/>
                <w:color w:val="FF0000"/>
              </w:rPr>
              <w:t>40</w:t>
            </w:r>
            <w:r w:rsidRPr="00C31CC2">
              <w:rPr>
                <w:rFonts w:ascii="標楷體" w:eastAsia="標楷體" w:hAnsi="標楷體" w:hint="eastAsia"/>
                <w:color w:val="FF0000"/>
              </w:rPr>
              <w:t>～</w:t>
            </w:r>
            <w:r w:rsidRPr="00C31CC2">
              <w:rPr>
                <w:rFonts w:ascii="標楷體" w:eastAsia="標楷體" w:hAnsi="標楷體"/>
                <w:color w:val="FF0000"/>
              </w:rPr>
              <w:t>09</w:t>
            </w:r>
            <w:r w:rsidRPr="00C31CC2">
              <w:rPr>
                <w:rFonts w:ascii="標楷體" w:eastAsia="標楷體" w:hAnsi="標楷體" w:hint="eastAsia"/>
                <w:color w:val="FF0000"/>
              </w:rPr>
              <w:t>：</w:t>
            </w:r>
            <w:r w:rsidRPr="00C31CC2">
              <w:rPr>
                <w:rFonts w:ascii="標楷體" w:eastAsia="標楷體" w:hAnsi="標楷體"/>
                <w:color w:val="FF0000"/>
              </w:rPr>
              <w:t>00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cs="Arial" w:hint="eastAsia"/>
                <w:color w:val="FF0000"/>
                <w:sz w:val="23"/>
                <w:szCs w:val="23"/>
                <w:shd w:val="clear" w:color="auto" w:fill="FFFFFF"/>
              </w:rPr>
              <w:t>數學擬題與評量設計</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陳嘉皇副教授</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12</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13</w:t>
            </w:r>
            <w:r w:rsidRPr="00C31CC2">
              <w:rPr>
                <w:rFonts w:ascii="標楷體" w:eastAsia="標楷體" w:hAnsi="標楷體" w:hint="eastAsia"/>
                <w:color w:val="FF0000"/>
              </w:rPr>
              <w:t>：</w:t>
            </w:r>
            <w:r w:rsidRPr="00C31CC2">
              <w:rPr>
                <w:rFonts w:ascii="標楷體" w:eastAsia="標楷體" w:hAnsi="標楷體"/>
                <w:color w:val="FF0000"/>
              </w:rPr>
              <w:t>00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午餐時間</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數學領域輔導員</w:t>
            </w:r>
          </w:p>
        </w:tc>
      </w:tr>
      <w:tr w:rsidR="00E623AB" w:rsidRPr="00C31CC2" w:rsidTr="00192E56">
        <w:tc>
          <w:tcPr>
            <w:tcW w:w="2093" w:type="dxa"/>
          </w:tcPr>
          <w:p w:rsidR="00E623AB" w:rsidRPr="00C31CC2" w:rsidRDefault="00E623AB" w:rsidP="00192E56">
            <w:pPr>
              <w:rPr>
                <w:rFonts w:ascii="標楷體" w:eastAsia="標楷體" w:hAnsi="標楷體"/>
                <w:color w:val="FF0000"/>
              </w:rPr>
            </w:pPr>
            <w:r w:rsidRPr="00C31CC2">
              <w:rPr>
                <w:rFonts w:ascii="標楷體" w:eastAsia="標楷體" w:hAnsi="標楷體"/>
                <w:color w:val="FF0000"/>
              </w:rPr>
              <w:t>13</w:t>
            </w:r>
            <w:r w:rsidRPr="00C31CC2">
              <w:rPr>
                <w:rFonts w:ascii="標楷體" w:eastAsia="標楷體" w:hAnsi="標楷體" w:hint="eastAsia"/>
                <w:color w:val="FF0000"/>
              </w:rPr>
              <w:t>：</w:t>
            </w:r>
            <w:r w:rsidRPr="00C31CC2">
              <w:rPr>
                <w:rFonts w:ascii="標楷體" w:eastAsia="標楷體" w:hAnsi="標楷體"/>
                <w:color w:val="FF0000"/>
              </w:rPr>
              <w:t>00</w:t>
            </w:r>
            <w:r w:rsidRPr="00C31CC2">
              <w:rPr>
                <w:rFonts w:ascii="標楷體" w:eastAsia="標楷體" w:hAnsi="標楷體" w:hint="eastAsia"/>
                <w:color w:val="FF0000"/>
              </w:rPr>
              <w:t>～</w:t>
            </w:r>
            <w:r w:rsidRPr="00C31CC2">
              <w:rPr>
                <w:rFonts w:ascii="標楷體" w:eastAsia="標楷體" w:hAnsi="標楷體"/>
                <w:color w:val="FF0000"/>
              </w:rPr>
              <w:t>15</w:t>
            </w:r>
            <w:r w:rsidRPr="00C31CC2">
              <w:rPr>
                <w:rFonts w:ascii="標楷體" w:eastAsia="標楷體" w:hAnsi="標楷體" w:hint="eastAsia"/>
                <w:color w:val="FF0000"/>
              </w:rPr>
              <w:t>：</w:t>
            </w:r>
            <w:r w:rsidRPr="00C31CC2">
              <w:rPr>
                <w:rFonts w:ascii="標楷體" w:eastAsia="標楷體" w:hAnsi="標楷體"/>
                <w:color w:val="FF0000"/>
              </w:rPr>
              <w:t>30</w:t>
            </w:r>
          </w:p>
        </w:tc>
        <w:tc>
          <w:tcPr>
            <w:tcW w:w="3595" w:type="dxa"/>
          </w:tcPr>
          <w:p w:rsidR="00E623AB" w:rsidRPr="00C31CC2" w:rsidRDefault="00E623AB" w:rsidP="00192E56">
            <w:pPr>
              <w:rPr>
                <w:rFonts w:ascii="標楷體" w:eastAsia="標楷體" w:hAnsi="標楷體"/>
                <w:color w:val="FF0000"/>
              </w:rPr>
            </w:pPr>
            <w:r w:rsidRPr="00C31CC2">
              <w:rPr>
                <w:rFonts w:ascii="標楷體" w:eastAsia="標楷體" w:hAnsi="標楷體" w:cs="Arial" w:hint="eastAsia"/>
                <w:color w:val="FF0000"/>
                <w:sz w:val="23"/>
                <w:szCs w:val="23"/>
                <w:shd w:val="clear" w:color="auto" w:fill="FFFFFF"/>
              </w:rPr>
              <w:t>學生數學表現臆測</w:t>
            </w:r>
          </w:p>
        </w:tc>
        <w:tc>
          <w:tcPr>
            <w:tcW w:w="2674" w:type="dxa"/>
          </w:tcPr>
          <w:p w:rsidR="00E623AB" w:rsidRPr="00C31CC2" w:rsidRDefault="00E623AB" w:rsidP="00192E56">
            <w:pPr>
              <w:rPr>
                <w:rFonts w:ascii="標楷體" w:eastAsia="標楷體" w:hAnsi="標楷體"/>
                <w:color w:val="FF0000"/>
              </w:rPr>
            </w:pPr>
            <w:r w:rsidRPr="00C31CC2">
              <w:rPr>
                <w:rFonts w:ascii="標楷體" w:eastAsia="標楷體" w:hAnsi="標楷體" w:hint="eastAsia"/>
                <w:color w:val="FF0000"/>
              </w:rPr>
              <w:t>陳嘉皇副教授</w:t>
            </w:r>
          </w:p>
        </w:tc>
      </w:tr>
    </w:tbl>
    <w:p w:rsidR="00E623AB" w:rsidRDefault="00E623AB" w:rsidP="00ED5ED0">
      <w:pPr>
        <w:widowControl/>
        <w:spacing w:line="300" w:lineRule="exact"/>
        <w:jc w:val="both"/>
        <w:rPr>
          <w:rFonts w:ascii="標楷體" w:eastAsia="標楷體" w:hAnsi="標楷體"/>
        </w:rPr>
      </w:pPr>
    </w:p>
    <w:p w:rsidR="00E623AB" w:rsidRDefault="00E623AB" w:rsidP="00ED5ED0">
      <w:pPr>
        <w:spacing w:line="440" w:lineRule="exact"/>
        <w:jc w:val="both"/>
        <w:rPr>
          <w:rFonts w:ascii="標楷體" w:eastAsia="標楷體" w:hAnsi="標楷體"/>
        </w:rPr>
      </w:pPr>
      <w:r>
        <w:rPr>
          <w:rFonts w:ascii="標楷體" w:eastAsia="標楷體" w:hAnsi="標楷體" w:hint="eastAsia"/>
        </w:rPr>
        <w:t>十</w:t>
      </w:r>
      <w:r w:rsidRPr="002C40EA">
        <w:rPr>
          <w:rFonts w:ascii="標楷體" w:eastAsia="標楷體" w:hAnsi="標楷體" w:hint="eastAsia"/>
        </w:rPr>
        <w:t>、預期效益</w:t>
      </w:r>
    </w:p>
    <w:p w:rsidR="00E623AB" w:rsidRPr="00973224" w:rsidRDefault="00E623AB" w:rsidP="00ED5ED0">
      <w:pPr>
        <w:spacing w:line="440" w:lineRule="exact"/>
        <w:ind w:left="720" w:hangingChars="300" w:hanging="720"/>
        <w:jc w:val="both"/>
        <w:rPr>
          <w:rFonts w:ascii="標楷體" w:eastAsia="標楷體" w:hAnsi="標楷體" w:cs="TT35Co00"/>
          <w:kern w:val="0"/>
        </w:rPr>
      </w:pPr>
      <w:r>
        <w:rPr>
          <w:rFonts w:ascii="標楷體" w:eastAsia="標楷體" w:hAnsi="標楷體" w:cs="TT35Co00" w:hint="eastAsia"/>
          <w:kern w:val="0"/>
        </w:rPr>
        <w:t>（一）透過專業工作坊的專業增能與產出</w:t>
      </w:r>
      <w:r w:rsidRPr="00973224">
        <w:rPr>
          <w:rFonts w:ascii="標楷體" w:eastAsia="標楷體" w:hAnsi="標楷體" w:cs="TT35Co00" w:hint="eastAsia"/>
          <w:kern w:val="0"/>
        </w:rPr>
        <w:t>，</w:t>
      </w:r>
      <w:r w:rsidRPr="00ED5ED0">
        <w:rPr>
          <w:rFonts w:ascii="標楷體" w:eastAsia="標楷體" w:hAnsi="標楷體" w:hint="eastAsia"/>
        </w:rPr>
        <w:t>試行可</w:t>
      </w:r>
      <w:r>
        <w:rPr>
          <w:rFonts w:ascii="標楷體" w:eastAsia="標楷體" w:hAnsi="標楷體" w:hint="eastAsia"/>
        </w:rPr>
        <w:t>新的教學策略或</w:t>
      </w:r>
      <w:r w:rsidRPr="00ED5ED0">
        <w:rPr>
          <w:rFonts w:ascii="標楷體" w:eastAsia="標楷體" w:hAnsi="標楷體" w:hint="eastAsia"/>
        </w:rPr>
        <w:t>評量</w:t>
      </w:r>
      <w:r>
        <w:rPr>
          <w:rFonts w:ascii="標楷體" w:eastAsia="標楷體" w:hAnsi="標楷體" w:hint="eastAsia"/>
        </w:rPr>
        <w:t>方式，提升</w:t>
      </w:r>
      <w:r w:rsidRPr="0097241C">
        <w:rPr>
          <w:rFonts w:ascii="標楷體" w:eastAsia="標楷體" w:hAnsi="標楷體" w:hint="eastAsia"/>
        </w:rPr>
        <w:t>教師教學</w:t>
      </w:r>
      <w:r>
        <w:rPr>
          <w:rFonts w:ascii="標楷體" w:eastAsia="標楷體" w:hAnsi="標楷體" w:hint="eastAsia"/>
        </w:rPr>
        <w:t>相關</w:t>
      </w:r>
      <w:r w:rsidRPr="0097241C">
        <w:rPr>
          <w:rFonts w:ascii="標楷體" w:eastAsia="標楷體" w:hAnsi="標楷體" w:hint="eastAsia"/>
        </w:rPr>
        <w:t>的</w:t>
      </w:r>
      <w:r>
        <w:rPr>
          <w:rFonts w:ascii="標楷體" w:eastAsia="標楷體" w:hAnsi="標楷體" w:hint="eastAsia"/>
        </w:rPr>
        <w:t>設計</w:t>
      </w:r>
      <w:r w:rsidRPr="0097241C">
        <w:rPr>
          <w:rFonts w:ascii="標楷體" w:eastAsia="標楷體" w:hAnsi="標楷體" w:hint="eastAsia"/>
        </w:rPr>
        <w:t>能力</w:t>
      </w:r>
      <w:r w:rsidRPr="00973224">
        <w:rPr>
          <w:rFonts w:ascii="標楷體" w:eastAsia="標楷體" w:hAnsi="標楷體" w:cs="TT35Co00" w:hint="eastAsia"/>
          <w:kern w:val="0"/>
        </w:rPr>
        <w:t>。</w:t>
      </w:r>
    </w:p>
    <w:p w:rsidR="00E623AB" w:rsidRDefault="00E623AB" w:rsidP="00ED5ED0">
      <w:pPr>
        <w:spacing w:line="440" w:lineRule="exact"/>
        <w:jc w:val="both"/>
        <w:rPr>
          <w:rFonts w:ascii="標楷體" w:eastAsia="標楷體" w:hAnsi="標楷體"/>
        </w:rPr>
      </w:pPr>
      <w:r>
        <w:rPr>
          <w:rFonts w:ascii="標楷體" w:eastAsia="標楷體" w:hAnsi="標楷體" w:hint="eastAsia"/>
        </w:rPr>
        <w:t>（二）</w:t>
      </w:r>
      <w:r w:rsidRPr="00ED5ED0">
        <w:rPr>
          <w:rFonts w:ascii="標楷體" w:eastAsia="標楷體" w:hAnsi="標楷體" w:hint="eastAsia"/>
        </w:rPr>
        <w:t>預測學生的學習回饋，擬定可能的引導方式</w:t>
      </w:r>
      <w:r w:rsidRPr="0097241C">
        <w:rPr>
          <w:rFonts w:ascii="標楷體" w:eastAsia="標楷體" w:hAnsi="標楷體" w:hint="eastAsia"/>
        </w:rPr>
        <w:t>，提升學生數學學習興趣。</w:t>
      </w:r>
    </w:p>
    <w:p w:rsidR="00E623AB" w:rsidRPr="0097241C" w:rsidRDefault="00E623AB" w:rsidP="00ED5ED0">
      <w:pPr>
        <w:numPr>
          <w:ilvl w:val="0"/>
          <w:numId w:val="1"/>
        </w:numPr>
        <w:spacing w:line="440" w:lineRule="exact"/>
        <w:jc w:val="both"/>
        <w:rPr>
          <w:rFonts w:ascii="標楷體" w:eastAsia="標楷體" w:hAnsi="標楷體"/>
        </w:rPr>
      </w:pPr>
      <w:r w:rsidRPr="00ED5ED0">
        <w:rPr>
          <w:rFonts w:ascii="標楷體" w:eastAsia="標楷體" w:hAnsi="標楷體" w:hint="eastAsia"/>
        </w:rPr>
        <w:t>透過教師互動，思考教學，規劃教學，期許有效教學成效。</w:t>
      </w:r>
    </w:p>
    <w:p w:rsidR="00E623AB" w:rsidRDefault="00E623AB" w:rsidP="00ED5ED0">
      <w:pPr>
        <w:spacing w:line="440" w:lineRule="exact"/>
        <w:jc w:val="both"/>
        <w:rPr>
          <w:rFonts w:ascii="標楷體" w:eastAsia="標楷體" w:hAnsi="標楷體"/>
        </w:rPr>
      </w:pPr>
      <w:r>
        <w:rPr>
          <w:rFonts w:ascii="標楷體" w:eastAsia="標楷體" w:hAnsi="標楷體" w:hint="eastAsia"/>
        </w:rPr>
        <w:t>十一</w:t>
      </w:r>
      <w:r w:rsidRPr="002C40EA">
        <w:rPr>
          <w:rFonts w:ascii="標楷體" w:eastAsia="標楷體" w:hAnsi="標楷體" w:hint="eastAsia"/>
        </w:rPr>
        <w:t>、經費來源：</w:t>
      </w:r>
      <w:r>
        <w:rPr>
          <w:rFonts w:ascii="標楷體" w:eastAsia="標楷體" w:hAnsi="標楷體" w:hint="eastAsia"/>
        </w:rPr>
        <w:t>教育部國民及學前教育署</w:t>
      </w:r>
      <w:r w:rsidRPr="003B441D">
        <w:rPr>
          <w:rFonts w:ascii="標楷體" w:eastAsia="標楷體" w:hAnsi="標楷體" w:hint="eastAsia"/>
        </w:rPr>
        <w:t>補助經費</w:t>
      </w:r>
      <w:r>
        <w:rPr>
          <w:rFonts w:ascii="標楷體" w:eastAsia="標楷體" w:hAnsi="標楷體" w:hint="eastAsia"/>
        </w:rPr>
        <w:t>。</w:t>
      </w:r>
    </w:p>
    <w:p w:rsidR="00E623AB" w:rsidRDefault="00E623AB" w:rsidP="00ED5ED0">
      <w:pPr>
        <w:spacing w:line="440" w:lineRule="exact"/>
        <w:jc w:val="both"/>
        <w:rPr>
          <w:rFonts w:ascii="標楷體" w:eastAsia="標楷體" w:hAnsi="標楷體"/>
        </w:rPr>
      </w:pPr>
      <w:r>
        <w:rPr>
          <w:rFonts w:ascii="標楷體" w:eastAsia="標楷體" w:hAnsi="標楷體" w:hint="eastAsia"/>
        </w:rPr>
        <w:t>十二</w:t>
      </w:r>
      <w:r w:rsidRPr="002C40EA">
        <w:rPr>
          <w:rFonts w:ascii="標楷體" w:eastAsia="標楷體" w:hAnsi="標楷體" w:hint="eastAsia"/>
        </w:rPr>
        <w:t>、經費概算：</w:t>
      </w:r>
      <w:r>
        <w:rPr>
          <w:rFonts w:ascii="標楷體" w:eastAsia="標楷體" w:hAnsi="標楷體" w:hint="eastAsia"/>
        </w:rPr>
        <w:t>如概算表。</w:t>
      </w:r>
    </w:p>
    <w:p w:rsidR="00E623AB" w:rsidRDefault="00E623AB" w:rsidP="00ED5ED0">
      <w:pPr>
        <w:snapToGrid w:val="0"/>
        <w:spacing w:line="440" w:lineRule="exact"/>
        <w:jc w:val="both"/>
        <w:rPr>
          <w:rFonts w:ascii="標楷體" w:eastAsia="標楷體" w:hAnsi="標楷體"/>
        </w:rPr>
      </w:pPr>
      <w:r>
        <w:rPr>
          <w:rFonts w:ascii="標楷體" w:eastAsia="標楷體" w:hAnsi="標楷體" w:hint="eastAsia"/>
        </w:rPr>
        <w:t>十三</w:t>
      </w:r>
      <w:r w:rsidRPr="002C40EA">
        <w:rPr>
          <w:rFonts w:ascii="標楷體" w:eastAsia="標楷體" w:hAnsi="標楷體" w:hint="eastAsia"/>
        </w:rPr>
        <w:t>、研習注意事項</w:t>
      </w:r>
    </w:p>
    <w:p w:rsidR="00E623AB" w:rsidRPr="005C2C6F" w:rsidRDefault="00E623AB" w:rsidP="00ED5ED0">
      <w:pPr>
        <w:snapToGrid w:val="0"/>
        <w:spacing w:line="440" w:lineRule="exact"/>
        <w:jc w:val="both"/>
        <w:rPr>
          <w:rFonts w:ascii="標楷體" w:eastAsia="標楷體" w:hAnsi="標楷體"/>
          <w:color w:val="000000"/>
        </w:rPr>
      </w:pPr>
      <w:r>
        <w:rPr>
          <w:rFonts w:ascii="標楷體" w:eastAsia="標楷體" w:hAnsi="標楷體"/>
        </w:rPr>
        <w:t xml:space="preserve"> </w:t>
      </w:r>
      <w:r w:rsidRPr="005C2C6F">
        <w:rPr>
          <w:rFonts w:ascii="標楷體" w:eastAsia="標楷體" w:hAnsi="標楷體"/>
          <w:color w:val="000000"/>
        </w:rPr>
        <w:t>(</w:t>
      </w:r>
      <w:proofErr w:type="gramStart"/>
      <w:r w:rsidRPr="005C2C6F">
        <w:rPr>
          <w:rFonts w:ascii="標楷體" w:eastAsia="標楷體" w:hAnsi="標楷體" w:hint="eastAsia"/>
          <w:color w:val="000000"/>
        </w:rPr>
        <w:t>一</w:t>
      </w:r>
      <w:proofErr w:type="gramEnd"/>
      <w:r w:rsidRPr="005C2C6F">
        <w:rPr>
          <w:rFonts w:ascii="標楷體" w:eastAsia="標楷體" w:hAnsi="標楷體"/>
          <w:color w:val="000000"/>
        </w:rPr>
        <w:t>)</w:t>
      </w:r>
      <w:r>
        <w:rPr>
          <w:rFonts w:ascii="標楷體" w:eastAsia="標楷體" w:hAnsi="標楷體"/>
          <w:color w:val="000000"/>
        </w:rPr>
        <w:t xml:space="preserve"> </w:t>
      </w:r>
      <w:r w:rsidRPr="005C2C6F">
        <w:rPr>
          <w:rFonts w:ascii="標楷體" w:eastAsia="標楷體" w:hAnsi="標楷體" w:hint="eastAsia"/>
          <w:color w:val="000000"/>
        </w:rPr>
        <w:t>參與研習人員給予公假登記。</w:t>
      </w:r>
    </w:p>
    <w:p w:rsidR="00E623AB" w:rsidRPr="005C2C6F" w:rsidRDefault="00E623AB" w:rsidP="00ED5ED0">
      <w:pPr>
        <w:snapToGrid w:val="0"/>
        <w:spacing w:line="440" w:lineRule="exact"/>
        <w:ind w:left="600" w:hangingChars="250" w:hanging="600"/>
        <w:jc w:val="both"/>
        <w:rPr>
          <w:rFonts w:ascii="標楷體" w:eastAsia="標楷體" w:hAnsi="標楷體"/>
          <w:color w:val="000000"/>
        </w:rPr>
      </w:pPr>
      <w:r>
        <w:rPr>
          <w:rFonts w:ascii="標楷體" w:eastAsia="標楷體" w:hAnsi="標楷體"/>
          <w:color w:val="000000"/>
        </w:rPr>
        <w:t xml:space="preserve"> </w:t>
      </w:r>
      <w:r w:rsidRPr="005C2C6F">
        <w:rPr>
          <w:rFonts w:ascii="標楷體" w:eastAsia="標楷體" w:hAnsi="標楷體"/>
          <w:color w:val="000000"/>
        </w:rPr>
        <w:t>(</w:t>
      </w:r>
      <w:r w:rsidRPr="005C2C6F">
        <w:rPr>
          <w:rFonts w:ascii="標楷體" w:eastAsia="標楷體" w:hAnsi="標楷體" w:hint="eastAsia"/>
          <w:color w:val="000000"/>
        </w:rPr>
        <w:t>二</w:t>
      </w:r>
      <w:r w:rsidRPr="005C2C6F">
        <w:rPr>
          <w:rFonts w:ascii="標楷體" w:eastAsia="標楷體" w:hAnsi="標楷體"/>
          <w:color w:val="000000"/>
        </w:rPr>
        <w:t>)</w:t>
      </w:r>
      <w:r>
        <w:rPr>
          <w:rFonts w:ascii="標楷體" w:eastAsia="標楷體" w:hAnsi="標楷體"/>
          <w:color w:val="000000"/>
        </w:rPr>
        <w:t xml:space="preserve"> </w:t>
      </w:r>
      <w:r w:rsidRPr="005C2C6F">
        <w:rPr>
          <w:rFonts w:ascii="標楷體" w:eastAsia="標楷體" w:hAnsi="標楷體" w:hint="eastAsia"/>
          <w:color w:val="000000"/>
        </w:rPr>
        <w:t>依規定參與之學員核</w:t>
      </w:r>
      <w:r w:rsidR="00EB1B45" w:rsidRPr="00EB1B45">
        <w:rPr>
          <w:rFonts w:ascii="標楷體" w:eastAsia="標楷體" w:hAnsi="標楷體" w:hint="eastAsia"/>
          <w:color w:val="000000"/>
        </w:rPr>
        <w:t>12小時的研習時數</w:t>
      </w:r>
      <w:r w:rsidRPr="005C2C6F">
        <w:rPr>
          <w:rFonts w:ascii="標楷體" w:eastAsia="標楷體" w:hAnsi="標楷體" w:hint="eastAsia"/>
          <w:color w:val="000000"/>
        </w:rPr>
        <w:t>，請上</w:t>
      </w:r>
      <w:r w:rsidRPr="005C2C6F">
        <w:rPr>
          <w:rFonts w:ascii="標楷體" w:eastAsia="標楷體" w:hAnsi="標楷體" w:cs="Arial" w:hint="eastAsia"/>
          <w:color w:val="000000"/>
        </w:rPr>
        <w:t>全國教師在職進修資訊網</w:t>
      </w:r>
      <w:proofErr w:type="gramStart"/>
      <w:r w:rsidRPr="005C2C6F">
        <w:rPr>
          <w:rFonts w:ascii="標楷體" w:eastAsia="標楷體" w:hAnsi="標楷體" w:cs="Arial" w:hint="eastAsia"/>
          <w:color w:val="000000"/>
        </w:rPr>
        <w:t>（</w:t>
      </w:r>
      <w:proofErr w:type="gramEnd"/>
      <w:r w:rsidR="005005F1">
        <w:fldChar w:fldCharType="begin"/>
      </w:r>
      <w:r w:rsidR="005005F1">
        <w:instrText xml:space="preserve"> HYPERLINK "http://inservice.edu.tw/" </w:instrText>
      </w:r>
      <w:r w:rsidR="005005F1">
        <w:fldChar w:fldCharType="separate"/>
      </w:r>
      <w:r w:rsidRPr="005C2C6F">
        <w:rPr>
          <w:rStyle w:val="a3"/>
          <w:rFonts w:ascii="標楷體" w:eastAsia="標楷體" w:hAnsi="標楷體" w:cs="Arial"/>
        </w:rPr>
        <w:t>http://inservice.edu.tw</w:t>
      </w:r>
      <w:r w:rsidR="005005F1">
        <w:rPr>
          <w:rStyle w:val="a3"/>
          <w:rFonts w:ascii="標楷體" w:eastAsia="標楷體" w:hAnsi="標楷體" w:cs="Arial"/>
        </w:rPr>
        <w:fldChar w:fldCharType="end"/>
      </w:r>
      <w:proofErr w:type="gramStart"/>
      <w:r w:rsidRPr="005C2C6F">
        <w:rPr>
          <w:rFonts w:ascii="標楷體" w:eastAsia="標楷體" w:hAnsi="標楷體" w:cs="Arial" w:hint="eastAsia"/>
          <w:color w:val="000000"/>
        </w:rPr>
        <w:t>）</w:t>
      </w:r>
      <w:proofErr w:type="gramEnd"/>
      <w:r w:rsidRPr="005C2C6F">
        <w:rPr>
          <w:rFonts w:ascii="標楷體" w:eastAsia="標楷體" w:hAnsi="標楷體" w:cs="Arial" w:hint="eastAsia"/>
          <w:color w:val="000000"/>
        </w:rPr>
        <w:t>報名</w:t>
      </w:r>
      <w:r w:rsidRPr="005C2C6F">
        <w:rPr>
          <w:rFonts w:ascii="標楷體" w:eastAsia="標楷體" w:hAnsi="標楷體" w:hint="eastAsia"/>
          <w:color w:val="000000"/>
        </w:rPr>
        <w:t>。</w:t>
      </w:r>
      <w:r w:rsidRPr="005C2C6F">
        <w:rPr>
          <w:rFonts w:ascii="標楷體" w:eastAsia="標楷體" w:hAnsi="標楷體"/>
          <w:color w:val="000000"/>
        </w:rPr>
        <w:t xml:space="preserve"> </w:t>
      </w:r>
    </w:p>
    <w:p w:rsidR="00E623AB" w:rsidRDefault="00E623AB" w:rsidP="00ED5ED0">
      <w:pPr>
        <w:autoSpaceDE w:val="0"/>
        <w:autoSpaceDN w:val="0"/>
        <w:adjustRightInd w:val="0"/>
        <w:spacing w:line="440" w:lineRule="exact"/>
        <w:ind w:left="720" w:hangingChars="300" w:hanging="720"/>
        <w:jc w:val="both"/>
        <w:rPr>
          <w:rFonts w:ascii="標楷體" w:eastAsia="標楷體" w:hAnsi="標楷體"/>
          <w:color w:val="000000"/>
        </w:rPr>
      </w:pPr>
      <w:r>
        <w:rPr>
          <w:rFonts w:ascii="標楷體" w:eastAsia="標楷體" w:hAnsi="標楷體"/>
          <w:color w:val="000000"/>
        </w:rPr>
        <w:t xml:space="preserve"> </w:t>
      </w:r>
      <w:r w:rsidRPr="005C2C6F">
        <w:rPr>
          <w:rFonts w:ascii="標楷體" w:eastAsia="標楷體" w:hAnsi="標楷體"/>
          <w:color w:val="000000"/>
        </w:rPr>
        <w:t>(</w:t>
      </w:r>
      <w:r w:rsidRPr="005C2C6F">
        <w:rPr>
          <w:rFonts w:ascii="標楷體" w:eastAsia="標楷體" w:hAnsi="標楷體" w:hint="eastAsia"/>
          <w:color w:val="000000"/>
        </w:rPr>
        <w:t>三</w:t>
      </w:r>
      <w:r w:rsidRPr="005C2C6F">
        <w:rPr>
          <w:rFonts w:ascii="標楷體" w:eastAsia="標楷體" w:hAnsi="標楷體"/>
          <w:color w:val="000000"/>
        </w:rPr>
        <w:t>)</w:t>
      </w:r>
      <w:r>
        <w:rPr>
          <w:rFonts w:ascii="標楷體" w:eastAsia="標楷體" w:hAnsi="標楷體"/>
          <w:color w:val="000000"/>
        </w:rPr>
        <w:t xml:space="preserve"> </w:t>
      </w:r>
      <w:r w:rsidRPr="005C2C6F">
        <w:rPr>
          <w:rFonts w:ascii="標楷體" w:eastAsia="標楷體" w:hAnsi="標楷體" w:hint="eastAsia"/>
          <w:color w:val="000000"/>
        </w:rPr>
        <w:t>為響應環保運動，請研習學員攜帶環保杯或茶杯。</w:t>
      </w:r>
    </w:p>
    <w:p w:rsidR="00E623AB" w:rsidRDefault="00E623AB" w:rsidP="00ED5ED0">
      <w:pPr>
        <w:spacing w:line="440" w:lineRule="exact"/>
        <w:jc w:val="both"/>
        <w:rPr>
          <w:rFonts w:ascii="標楷體" w:eastAsia="標楷體" w:hAnsi="標楷體"/>
        </w:rPr>
      </w:pPr>
      <w:r>
        <w:rPr>
          <w:rFonts w:ascii="標楷體" w:eastAsia="標楷體" w:hAnsi="標楷體" w:hint="eastAsia"/>
        </w:rPr>
        <w:t>十四</w:t>
      </w:r>
      <w:r w:rsidRPr="002C40EA">
        <w:rPr>
          <w:rFonts w:ascii="標楷體" w:eastAsia="標楷體" w:hAnsi="標楷體" w:hint="eastAsia"/>
        </w:rPr>
        <w:t>、獎勵：相關承辦人員依嘉義縣教育人員獎勵辦法規定予以敘獎</w:t>
      </w:r>
    </w:p>
    <w:p w:rsidR="00E623AB" w:rsidRPr="00331AC6" w:rsidRDefault="00E623AB" w:rsidP="00ED5ED0">
      <w:pPr>
        <w:spacing w:line="440" w:lineRule="exact"/>
        <w:jc w:val="both"/>
        <w:rPr>
          <w:rFonts w:ascii="標楷體" w:eastAsia="標楷體" w:hAnsi="標楷體"/>
        </w:rPr>
      </w:pPr>
      <w:r>
        <w:rPr>
          <w:rFonts w:ascii="標楷體" w:eastAsia="標楷體" w:hAnsi="標楷體" w:hint="eastAsia"/>
        </w:rPr>
        <w:t>十五</w:t>
      </w:r>
      <w:r w:rsidRPr="002C40EA">
        <w:rPr>
          <w:rFonts w:ascii="標楷體" w:eastAsia="標楷體" w:hAnsi="標楷體" w:hint="eastAsia"/>
        </w:rPr>
        <w:t>、本計畫經核定後實施，修正時亦同。</w:t>
      </w:r>
    </w:p>
    <w:p w:rsidR="00E623AB" w:rsidRPr="00A50C85" w:rsidRDefault="00E623AB"/>
    <w:sectPr w:rsidR="00E623AB" w:rsidRPr="00A50C85" w:rsidSect="00C956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359o00">
    <w:altName w:val="Arial Unicode MS"/>
    <w:panose1 w:val="00000000000000000000"/>
    <w:charset w:val="88"/>
    <w:family w:val="auto"/>
    <w:notTrueType/>
    <w:pitch w:val="default"/>
    <w:sig w:usb0="00000001" w:usb1="08080000" w:usb2="00000010" w:usb3="00000000" w:csb0="00100000" w:csb1="00000000"/>
  </w:font>
  <w:font w:name="TT35C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B54E9"/>
    <w:multiLevelType w:val="hybridMultilevel"/>
    <w:tmpl w:val="124A176E"/>
    <w:lvl w:ilvl="0" w:tplc="A33A5E82">
      <w:start w:val="3"/>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5"/>
    <w:rsid w:val="00033E6B"/>
    <w:rsid w:val="00095A38"/>
    <w:rsid w:val="00192E56"/>
    <w:rsid w:val="001C648B"/>
    <w:rsid w:val="00281DB5"/>
    <w:rsid w:val="002A20B4"/>
    <w:rsid w:val="002A65B2"/>
    <w:rsid w:val="002C40EA"/>
    <w:rsid w:val="00331AC6"/>
    <w:rsid w:val="003B441D"/>
    <w:rsid w:val="004B5173"/>
    <w:rsid w:val="005005F1"/>
    <w:rsid w:val="005172CA"/>
    <w:rsid w:val="005272C4"/>
    <w:rsid w:val="00581C10"/>
    <w:rsid w:val="005C2C6F"/>
    <w:rsid w:val="00676769"/>
    <w:rsid w:val="006B47DF"/>
    <w:rsid w:val="006C02E6"/>
    <w:rsid w:val="006F6A77"/>
    <w:rsid w:val="00813440"/>
    <w:rsid w:val="0094024D"/>
    <w:rsid w:val="0097241C"/>
    <w:rsid w:val="00973224"/>
    <w:rsid w:val="00A13343"/>
    <w:rsid w:val="00A50C85"/>
    <w:rsid w:val="00A97951"/>
    <w:rsid w:val="00B81F74"/>
    <w:rsid w:val="00BB0C4A"/>
    <w:rsid w:val="00C31CC2"/>
    <w:rsid w:val="00C956FD"/>
    <w:rsid w:val="00CA6969"/>
    <w:rsid w:val="00E52DE0"/>
    <w:rsid w:val="00E623AB"/>
    <w:rsid w:val="00E724F0"/>
    <w:rsid w:val="00EB1B45"/>
    <w:rsid w:val="00ED0BD4"/>
    <w:rsid w:val="00ED5ED0"/>
    <w:rsid w:val="00FB1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4369B7-8A33-48A1-8976-1A21395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C8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0C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黃玉蘭</cp:lastModifiedBy>
  <cp:revision>2</cp:revision>
  <dcterms:created xsi:type="dcterms:W3CDTF">2016-06-03T07:39:00Z</dcterms:created>
  <dcterms:modified xsi:type="dcterms:W3CDTF">2016-06-03T07:39:00Z</dcterms:modified>
</cp:coreProperties>
</file>